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1"/>
        <w:gridCol w:w="5861"/>
      </w:tblGrid>
      <w:tr w:rsidR="00091285" w:rsidRPr="00E1388F" w14:paraId="31D6CD34" w14:textId="77777777" w:rsidTr="0058606E">
        <w:trPr>
          <w:trHeight w:val="235"/>
          <w:tblCellSpacing w:w="20" w:type="dxa"/>
        </w:trPr>
        <w:tc>
          <w:tcPr>
            <w:tcW w:w="3151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bottom"/>
          </w:tcPr>
          <w:p w14:paraId="00ED7CBB" w14:textId="70DADDC3" w:rsidR="00091285" w:rsidRPr="00AA45DE" w:rsidRDefault="00262981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Servicios Descentralizados para la Educación de los Adultos</w:t>
            </w:r>
          </w:p>
        </w:tc>
      </w:tr>
      <w:tr w:rsidR="00091285" w:rsidRPr="00E1388F" w14:paraId="6F6202EB" w14:textId="77777777" w:rsidTr="0058606E">
        <w:trPr>
          <w:trHeight w:val="235"/>
          <w:tblCellSpacing w:w="20" w:type="dxa"/>
        </w:trPr>
        <w:tc>
          <w:tcPr>
            <w:tcW w:w="3151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bottom"/>
          </w:tcPr>
          <w:p w14:paraId="219F17D5" w14:textId="7214081D" w:rsidR="00091285" w:rsidRPr="00AA45DE" w:rsidRDefault="004F1ADE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Instituto Sinaloense para la Educación de los Adultos (ISEA</w:t>
            </w:r>
            <w:r w:rsidR="003D6C7B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)</w:t>
            </w:r>
          </w:p>
        </w:tc>
      </w:tr>
      <w:tr w:rsidR="002E2401" w:rsidRPr="00E1388F" w14:paraId="180EC860" w14:textId="77777777" w:rsidTr="0058606E">
        <w:trPr>
          <w:trHeight w:val="235"/>
          <w:tblCellSpacing w:w="20" w:type="dxa"/>
        </w:trPr>
        <w:tc>
          <w:tcPr>
            <w:tcW w:w="3151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center"/>
          </w:tcPr>
          <w:p w14:paraId="3C049D2E" w14:textId="7AD20DCD" w:rsidR="002E2401" w:rsidRPr="00AA45DE" w:rsidRDefault="004F1ADE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Instituto Sinaloense para la Educación de los Adultos (ISEA)</w:t>
            </w:r>
          </w:p>
        </w:tc>
      </w:tr>
      <w:tr w:rsidR="002E2401" w:rsidRPr="00E1388F" w14:paraId="08D13584" w14:textId="77777777" w:rsidTr="0058606E">
        <w:trPr>
          <w:trHeight w:val="235"/>
          <w:tblCellSpacing w:w="20" w:type="dxa"/>
        </w:trPr>
        <w:tc>
          <w:tcPr>
            <w:tcW w:w="3151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bottom"/>
          </w:tcPr>
          <w:p w14:paraId="6FB834DF" w14:textId="47D24B3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2E2401" w:rsidRPr="00E1388F" w14:paraId="0AAD0A04" w14:textId="77777777" w:rsidTr="0058606E">
        <w:trPr>
          <w:trHeight w:val="235"/>
          <w:tblCellSpacing w:w="20" w:type="dxa"/>
        </w:trPr>
        <w:tc>
          <w:tcPr>
            <w:tcW w:w="3151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bottom"/>
          </w:tcPr>
          <w:p w14:paraId="52F48C09" w14:textId="6D5DF518" w:rsidR="002E2401" w:rsidRPr="00AA45DE" w:rsidRDefault="007817B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2020</w:t>
            </w:r>
          </w:p>
        </w:tc>
      </w:tr>
      <w:tr w:rsidR="002E2401" w:rsidRPr="00E1388F" w14:paraId="0F5B205E" w14:textId="77777777" w:rsidTr="0058606E">
        <w:trPr>
          <w:trHeight w:val="235"/>
          <w:tblCellSpacing w:w="20" w:type="dxa"/>
        </w:trPr>
        <w:tc>
          <w:tcPr>
            <w:tcW w:w="8992" w:type="dxa"/>
            <w:gridSpan w:val="2"/>
            <w:shd w:val="clear" w:color="auto" w:fill="861D31"/>
            <w:noWrap/>
            <w:vAlign w:val="center"/>
          </w:tcPr>
          <w:p w14:paraId="5218755C" w14:textId="20EE1F7C" w:rsidR="002E2401" w:rsidRPr="00AA45DE" w:rsidRDefault="002E2401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las recomendaciones de la eval</w:t>
            </w:r>
            <w:r w:rsidR="0013073F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-+</w:t>
            </w: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uación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437"/>
        <w:tblOverlap w:val="never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3"/>
        <w:gridCol w:w="1587"/>
        <w:gridCol w:w="1710"/>
        <w:gridCol w:w="3997"/>
      </w:tblGrid>
      <w:tr w:rsidR="0013073F" w:rsidRPr="00F77312" w14:paraId="25C46F3B" w14:textId="77777777" w:rsidTr="0058606E">
        <w:trPr>
          <w:trHeight w:val="918"/>
        </w:trPr>
        <w:tc>
          <w:tcPr>
            <w:tcW w:w="1773" w:type="dxa"/>
            <w:shd w:val="clear" w:color="auto" w:fill="861D31"/>
            <w:vAlign w:val="center"/>
          </w:tcPr>
          <w:p w14:paraId="104A5A68" w14:textId="77777777" w:rsidR="00384C73" w:rsidRPr="00F77312" w:rsidRDefault="00384C73" w:rsidP="00384C73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1587" w:type="dxa"/>
            <w:shd w:val="clear" w:color="auto" w:fill="861D31"/>
            <w:vAlign w:val="center"/>
          </w:tcPr>
          <w:p w14:paraId="0F7B0B38" w14:textId="77777777" w:rsidR="00384C73" w:rsidRDefault="00384C73" w:rsidP="00384C73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1710" w:type="dxa"/>
            <w:shd w:val="clear" w:color="auto" w:fill="861D31"/>
            <w:vAlign w:val="center"/>
          </w:tcPr>
          <w:p w14:paraId="7E6A2919" w14:textId="77777777" w:rsidR="00384C73" w:rsidRPr="00F77312" w:rsidRDefault="00384C73" w:rsidP="00384C73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3997" w:type="dxa"/>
            <w:shd w:val="clear" w:color="auto" w:fill="861D31"/>
            <w:vAlign w:val="center"/>
          </w:tcPr>
          <w:p w14:paraId="49B7A868" w14:textId="77777777" w:rsidR="00384C73" w:rsidRPr="00F77312" w:rsidRDefault="00384C73" w:rsidP="00384C73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13073F" w:rsidRPr="00930172" w14:paraId="0AB29B94" w14:textId="77777777" w:rsidTr="0058606E">
        <w:trPr>
          <w:trHeight w:val="1614"/>
        </w:trPr>
        <w:tc>
          <w:tcPr>
            <w:tcW w:w="1773" w:type="dxa"/>
          </w:tcPr>
          <w:p w14:paraId="7BEBEEEA" w14:textId="77777777" w:rsidR="00384C73" w:rsidRPr="0047128A" w:rsidRDefault="00384C73" w:rsidP="00384C73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7128A">
              <w:rPr>
                <w:rFonts w:asciiTheme="minorHAnsi" w:hAnsiTheme="minorHAnsi"/>
                <w:sz w:val="21"/>
                <w:szCs w:val="21"/>
              </w:rPr>
              <w:t>Informe / Recomendaciones / 1</w:t>
            </w:r>
          </w:p>
        </w:tc>
        <w:tc>
          <w:tcPr>
            <w:tcW w:w="1587" w:type="dxa"/>
          </w:tcPr>
          <w:p w14:paraId="253987F6" w14:textId="77777777" w:rsidR="00384C73" w:rsidRPr="0047128A" w:rsidRDefault="00384C73" w:rsidP="00384C73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47128A">
              <w:rPr>
                <w:rFonts w:asciiTheme="minorHAnsi" w:hAnsiTheme="minorHAnsi"/>
                <w:iCs/>
                <w:sz w:val="21"/>
                <w:szCs w:val="21"/>
                <w:lang w:val="es-ES"/>
              </w:rPr>
              <w:t>Implementar mecanismos que contribuyan a la reducción del analfabetismo en el estado.</w:t>
            </w:r>
          </w:p>
        </w:tc>
        <w:tc>
          <w:tcPr>
            <w:tcW w:w="1710" w:type="dxa"/>
            <w:shd w:val="clear" w:color="auto" w:fill="auto"/>
          </w:tcPr>
          <w:p w14:paraId="2B21B313" w14:textId="77777777" w:rsidR="00384C73" w:rsidRPr="0047128A" w:rsidRDefault="00384C73" w:rsidP="00384C73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47128A">
              <w:rPr>
                <w:rFonts w:asciiTheme="minorHAnsi" w:hAnsiTheme="minorHAnsi"/>
                <w:iCs/>
                <w:sz w:val="21"/>
                <w:szCs w:val="21"/>
              </w:rPr>
              <w:t>Se buscará crear acciones que lleven a la implementación de mejora de la calidad educativa y la integración de personas en analfabetismo.</w:t>
            </w:r>
          </w:p>
        </w:tc>
        <w:tc>
          <w:tcPr>
            <w:tcW w:w="3997" w:type="dxa"/>
            <w:shd w:val="clear" w:color="auto" w:fill="auto"/>
          </w:tcPr>
          <w:p w14:paraId="76FEA172" w14:textId="77777777" w:rsidR="0013073F" w:rsidRDefault="00384C73" w:rsidP="00433E44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  <w:r w:rsidRPr="0047128A">
              <w:rPr>
                <w:rFonts w:asciiTheme="minorHAnsi" w:hAnsiTheme="minorHAnsi"/>
                <w:iCs/>
                <w:sz w:val="21"/>
                <w:szCs w:val="21"/>
              </w:rPr>
              <w:t xml:space="preserve">Se pretende crear, evaluar e implementar acciones que impacten directamente en el índice de analfabetismo y rezago educativo, </w:t>
            </w:r>
            <w:r w:rsidR="00433E44" w:rsidRPr="0047128A">
              <w:rPr>
                <w:rFonts w:asciiTheme="minorHAnsi" w:hAnsiTheme="minorHAnsi"/>
                <w:iCs/>
                <w:sz w:val="21"/>
                <w:szCs w:val="21"/>
              </w:rPr>
              <w:t xml:space="preserve">se </w:t>
            </w:r>
            <w:r w:rsidRPr="0047128A">
              <w:rPr>
                <w:rFonts w:asciiTheme="minorHAnsi" w:hAnsiTheme="minorHAnsi"/>
                <w:iCs/>
                <w:sz w:val="21"/>
                <w:szCs w:val="21"/>
              </w:rPr>
              <w:t>participa</w:t>
            </w:r>
            <w:r w:rsidR="00433E44" w:rsidRPr="0047128A">
              <w:rPr>
                <w:rFonts w:asciiTheme="minorHAnsi" w:hAnsiTheme="minorHAnsi"/>
                <w:iCs/>
                <w:sz w:val="21"/>
                <w:szCs w:val="21"/>
              </w:rPr>
              <w:t>rá</w:t>
            </w:r>
            <w:r w:rsidRPr="0047128A">
              <w:rPr>
                <w:rFonts w:asciiTheme="minorHAnsi" w:hAnsiTheme="minorHAnsi"/>
                <w:iCs/>
                <w:sz w:val="21"/>
                <w:szCs w:val="21"/>
              </w:rPr>
              <w:t xml:space="preserve"> en el Movimiento Nacional por la Alfabetización y la Educación, encabezado por la Secretaría de Educación Pública (SEP) y el Instituto Nacional para la Educación de los Adultos (INEA)</w:t>
            </w:r>
            <w:r w:rsidR="00433E44" w:rsidRPr="0047128A">
              <w:rPr>
                <w:rFonts w:asciiTheme="minorHAnsi" w:hAnsiTheme="minorHAnsi"/>
                <w:iCs/>
                <w:sz w:val="21"/>
                <w:szCs w:val="21"/>
              </w:rPr>
              <w:t xml:space="preserve"> en conjunto con los Institutos Estatales de Educación para Jóvenes y Adultos, el cual </w:t>
            </w:r>
            <w:r w:rsidRPr="0047128A">
              <w:rPr>
                <w:rFonts w:asciiTheme="minorHAnsi" w:hAnsiTheme="minorHAnsi"/>
                <w:iCs/>
                <w:sz w:val="21"/>
                <w:szCs w:val="21"/>
              </w:rPr>
              <w:t>tiene como objetivo servir a los más necesitados y fortalecer la calidad educativa.</w:t>
            </w:r>
          </w:p>
          <w:p w14:paraId="46DF970D" w14:textId="1496C48A" w:rsidR="0047128A" w:rsidRPr="0047128A" w:rsidRDefault="0047128A" w:rsidP="00433E44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</w:rPr>
            </w:pPr>
          </w:p>
        </w:tc>
      </w:tr>
      <w:tr w:rsidR="0013073F" w:rsidRPr="00930172" w14:paraId="2D7E4079" w14:textId="77777777" w:rsidTr="0058606E">
        <w:trPr>
          <w:trHeight w:val="2735"/>
        </w:trPr>
        <w:tc>
          <w:tcPr>
            <w:tcW w:w="1773" w:type="dxa"/>
          </w:tcPr>
          <w:p w14:paraId="010725AE" w14:textId="77777777" w:rsidR="00384C73" w:rsidRPr="0047128A" w:rsidRDefault="00384C73" w:rsidP="00384C73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7128A">
              <w:rPr>
                <w:rFonts w:asciiTheme="minorHAnsi" w:hAnsiTheme="minorHAnsi"/>
                <w:sz w:val="21"/>
                <w:szCs w:val="21"/>
              </w:rPr>
              <w:t>Informe / Recomendaciones / 2</w:t>
            </w:r>
          </w:p>
        </w:tc>
        <w:tc>
          <w:tcPr>
            <w:tcW w:w="1587" w:type="dxa"/>
          </w:tcPr>
          <w:p w14:paraId="0A3D3E6F" w14:textId="77777777" w:rsidR="00384C73" w:rsidRPr="0047128A" w:rsidRDefault="00384C73" w:rsidP="00384C7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  <w:sz w:val="21"/>
                <w:szCs w:val="21"/>
                <w:lang w:val="es-ES"/>
              </w:rPr>
            </w:pPr>
            <w:r w:rsidRPr="0047128A">
              <w:rPr>
                <w:rFonts w:asciiTheme="minorHAnsi" w:hAnsiTheme="minorHAnsi"/>
                <w:iCs/>
                <w:sz w:val="21"/>
                <w:szCs w:val="21"/>
                <w:lang w:val="es-ES"/>
              </w:rPr>
              <w:t xml:space="preserve">Identificar las necesidades de recursos humanos, materiales y financieros del ISEA, para fortalecer su operación institucional en el cumplimiento </w:t>
            </w:r>
            <w:r w:rsidRPr="0047128A">
              <w:rPr>
                <w:rFonts w:asciiTheme="minorHAnsi" w:hAnsiTheme="minorHAnsi"/>
                <w:iCs/>
                <w:sz w:val="21"/>
                <w:szCs w:val="21"/>
                <w:lang w:val="es-ES"/>
              </w:rPr>
              <w:lastRenderedPageBreak/>
              <w:t>de las atribuciones.</w:t>
            </w:r>
          </w:p>
        </w:tc>
        <w:tc>
          <w:tcPr>
            <w:tcW w:w="1710" w:type="dxa"/>
            <w:shd w:val="clear" w:color="auto" w:fill="auto"/>
          </w:tcPr>
          <w:p w14:paraId="6A90E0F8" w14:textId="77777777" w:rsidR="00384C73" w:rsidRPr="0047128A" w:rsidRDefault="00384C73" w:rsidP="00384C73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7128A">
              <w:rPr>
                <w:rFonts w:asciiTheme="minorHAnsi" w:hAnsiTheme="minorHAnsi"/>
                <w:sz w:val="21"/>
                <w:szCs w:val="21"/>
              </w:rPr>
              <w:lastRenderedPageBreak/>
              <w:t>Es factible realizar un análisis de la situación actual de los recursos con los que se cuenta.</w:t>
            </w:r>
          </w:p>
        </w:tc>
        <w:tc>
          <w:tcPr>
            <w:tcW w:w="3997" w:type="dxa"/>
            <w:shd w:val="clear" w:color="auto" w:fill="auto"/>
          </w:tcPr>
          <w:p w14:paraId="09C98F9A" w14:textId="77777777" w:rsidR="0047128A" w:rsidRDefault="0047128A" w:rsidP="00384C73">
            <w:pPr>
              <w:spacing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  <w:p w14:paraId="53137BB9" w14:textId="0CFE1072" w:rsidR="00384C73" w:rsidRPr="0047128A" w:rsidRDefault="00384C73" w:rsidP="00384C73">
            <w:pPr>
              <w:spacing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7128A">
              <w:rPr>
                <w:rFonts w:asciiTheme="minorHAnsi" w:hAnsiTheme="minorHAnsi"/>
                <w:sz w:val="21"/>
                <w:szCs w:val="21"/>
              </w:rPr>
              <w:t xml:space="preserve">Se buscará realizar análisis de los procesos y acciones realizados dentro del Instituto con la finalidad de obtener las necesidades reales y su justificación. </w:t>
            </w:r>
            <w:r w:rsidRPr="0047128A">
              <w:rPr>
                <w:sz w:val="21"/>
                <w:szCs w:val="21"/>
              </w:rPr>
              <w:t xml:space="preserve"> </w:t>
            </w:r>
            <w:r w:rsidR="0013073F" w:rsidRPr="0047128A">
              <w:rPr>
                <w:sz w:val="21"/>
                <w:szCs w:val="21"/>
              </w:rPr>
              <w:t>Se realizará un análisis de los procesos sustantivos de la administración con la finalidad de detectar las necesidades reales e implementar acciones para corregir las deficiencias detectadas.</w:t>
            </w:r>
          </w:p>
        </w:tc>
      </w:tr>
      <w:tr w:rsidR="0013073F" w:rsidRPr="00930172" w14:paraId="5566FCE0" w14:textId="77777777" w:rsidTr="0058606E">
        <w:trPr>
          <w:trHeight w:val="2337"/>
        </w:trPr>
        <w:tc>
          <w:tcPr>
            <w:tcW w:w="1773" w:type="dxa"/>
          </w:tcPr>
          <w:p w14:paraId="5F7C3ABF" w14:textId="77777777" w:rsidR="00384C73" w:rsidRPr="0047128A" w:rsidRDefault="00384C73" w:rsidP="00384C73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7128A">
              <w:rPr>
                <w:rFonts w:asciiTheme="minorHAnsi" w:hAnsiTheme="minorHAnsi"/>
                <w:sz w:val="21"/>
                <w:szCs w:val="21"/>
              </w:rPr>
              <w:t>Informe / Recomendaciones / 3</w:t>
            </w:r>
          </w:p>
        </w:tc>
        <w:tc>
          <w:tcPr>
            <w:tcW w:w="1587" w:type="dxa"/>
          </w:tcPr>
          <w:p w14:paraId="3BE69498" w14:textId="77777777" w:rsidR="00384C73" w:rsidRPr="0047128A" w:rsidRDefault="00384C73" w:rsidP="00384C73">
            <w:pPr>
              <w:spacing w:after="0"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7128A">
              <w:rPr>
                <w:rFonts w:asciiTheme="minorHAnsi" w:hAnsiTheme="minorHAnsi"/>
                <w:sz w:val="21"/>
                <w:szCs w:val="21"/>
              </w:rPr>
              <w:t>Gestionar con la autoridad educativa federal, las metas de educación para los adultos, de manera que puedan ser logradas en el ejercicio fiscal.</w:t>
            </w:r>
          </w:p>
        </w:tc>
        <w:tc>
          <w:tcPr>
            <w:tcW w:w="1710" w:type="dxa"/>
            <w:shd w:val="clear" w:color="auto" w:fill="auto"/>
          </w:tcPr>
          <w:p w14:paraId="17DF5194" w14:textId="77777777" w:rsidR="00384C73" w:rsidRPr="0047128A" w:rsidRDefault="00384C73" w:rsidP="00384C73">
            <w:pPr>
              <w:spacing w:after="0" w:line="240" w:lineRule="auto"/>
              <w:rPr>
                <w:rFonts w:asciiTheme="minorHAnsi" w:hAnsiTheme="minorHAnsi"/>
                <w:sz w:val="21"/>
                <w:szCs w:val="21"/>
              </w:rPr>
            </w:pPr>
            <w:r w:rsidRPr="0047128A">
              <w:rPr>
                <w:rFonts w:asciiTheme="minorHAnsi" w:hAnsiTheme="minorHAnsi"/>
                <w:sz w:val="21"/>
                <w:szCs w:val="21"/>
              </w:rPr>
              <w:t>Es factible, buscar los mecanismos que permitan la correcta identificación de las metas alcanzables de los indicadores y buscar gestionarlas con las autoridades federales.</w:t>
            </w:r>
          </w:p>
        </w:tc>
        <w:tc>
          <w:tcPr>
            <w:tcW w:w="3997" w:type="dxa"/>
            <w:shd w:val="clear" w:color="auto" w:fill="auto"/>
          </w:tcPr>
          <w:p w14:paraId="7A59783F" w14:textId="7B9FBC20" w:rsidR="00384C73" w:rsidRPr="0047128A" w:rsidRDefault="00384C73" w:rsidP="00384C73">
            <w:pPr>
              <w:spacing w:line="240" w:lineRule="auto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7128A">
              <w:rPr>
                <w:rFonts w:asciiTheme="minorHAnsi" w:hAnsiTheme="minorHAnsi"/>
                <w:sz w:val="21"/>
                <w:szCs w:val="21"/>
              </w:rPr>
              <w:t xml:space="preserve">Realizar un análisis con el propósito de identificar obstáculos nuevos o ya existentes, que repercutan en la no obtención de metas de los indicadores y analizar la gestión de metas acordes al programa. </w:t>
            </w:r>
            <w:r w:rsidRPr="0047128A">
              <w:rPr>
                <w:sz w:val="21"/>
                <w:szCs w:val="21"/>
              </w:rPr>
              <w:t xml:space="preserve"> L</w:t>
            </w:r>
            <w:r w:rsidRPr="0047128A">
              <w:rPr>
                <w:rFonts w:asciiTheme="minorHAnsi" w:hAnsiTheme="minorHAnsi"/>
                <w:sz w:val="21"/>
                <w:szCs w:val="21"/>
              </w:rPr>
              <w:t xml:space="preserve">as Autoridades del INEA en conjunto con los Institutos Estatales de Educación para </w:t>
            </w:r>
            <w:r w:rsidRPr="0047128A">
              <w:rPr>
                <w:sz w:val="21"/>
                <w:szCs w:val="21"/>
              </w:rPr>
              <w:t>J</w:t>
            </w:r>
            <w:r w:rsidRPr="0047128A">
              <w:rPr>
                <w:rFonts w:asciiTheme="minorHAnsi" w:hAnsiTheme="minorHAnsi"/>
                <w:sz w:val="21"/>
                <w:szCs w:val="21"/>
              </w:rPr>
              <w:t>óvenes y Adultos</w:t>
            </w:r>
            <w:r w:rsidRPr="0047128A">
              <w:rPr>
                <w:sz w:val="21"/>
                <w:szCs w:val="21"/>
              </w:rPr>
              <w:t xml:space="preserve"> realizan los ajustes en la planeación y alcances estableciendo los acuerdos, la coordinación y la vinculación interinstitucional correspondiente, para el mejor cumplimiento del Programa.</w:t>
            </w:r>
          </w:p>
        </w:tc>
      </w:tr>
    </w:tbl>
    <w:p w14:paraId="77492E1D" w14:textId="57D50EE8" w:rsidR="00AA45DE" w:rsidRDefault="00AA45DE" w:rsidP="00F77312">
      <w:pPr>
        <w:spacing w:after="0"/>
      </w:pPr>
    </w:p>
    <w:p w14:paraId="23A9AD74" w14:textId="1857A594" w:rsidR="00F77312" w:rsidRDefault="00F77312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41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6"/>
      </w:tblGrid>
      <w:tr w:rsidR="003414E8" w:rsidRPr="00930172" w14:paraId="1DB21BBB" w14:textId="77777777" w:rsidTr="00384C73">
        <w:trPr>
          <w:trHeight w:val="300"/>
          <w:tblCellSpacing w:w="20" w:type="dxa"/>
        </w:trPr>
        <w:tc>
          <w:tcPr>
            <w:tcW w:w="9336" w:type="dxa"/>
            <w:shd w:val="clear" w:color="auto" w:fill="861D31"/>
            <w:noWrap/>
            <w:vAlign w:val="center"/>
          </w:tcPr>
          <w:p w14:paraId="0C0B0456" w14:textId="76F371AC" w:rsidR="003414E8" w:rsidRPr="00232E33" w:rsidRDefault="00E12CA5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232E33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Posición Institucional respecto de la evaluación</w:t>
            </w:r>
          </w:p>
        </w:tc>
      </w:tr>
    </w:tbl>
    <w:p w14:paraId="1C0BA891" w14:textId="745CD735" w:rsidR="00EC63B6" w:rsidRPr="00930172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58DBD1A8" w14:textId="1451EBEB" w:rsidR="00EE0924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Se considera que el Informe de la Evaluación Específica de Desempeño, contiene los elementos necesarios para conocer el programa y su evolución a través del tiempo.</w:t>
      </w:r>
    </w:p>
    <w:p w14:paraId="25D447E7" w14:textId="597362D9" w:rsidR="00232E33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tbl>
      <w:tblPr>
        <w:tblW w:w="941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6"/>
      </w:tblGrid>
      <w:tr w:rsidR="00232E33" w:rsidRPr="00930172" w14:paraId="64BF063D" w14:textId="77777777" w:rsidTr="00601544">
        <w:trPr>
          <w:trHeight w:val="300"/>
          <w:tblCellSpacing w:w="20" w:type="dxa"/>
        </w:trPr>
        <w:tc>
          <w:tcPr>
            <w:tcW w:w="9336" w:type="dxa"/>
            <w:shd w:val="clear" w:color="auto" w:fill="861D31"/>
            <w:noWrap/>
            <w:vAlign w:val="center"/>
          </w:tcPr>
          <w:p w14:paraId="589EF237" w14:textId="0DD79B0C" w:rsidR="00232E33" w:rsidRPr="00232E33" w:rsidRDefault="00232E33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Comentarios específicos</w:t>
            </w:r>
          </w:p>
        </w:tc>
      </w:tr>
    </w:tbl>
    <w:p w14:paraId="0F5F3F55" w14:textId="77777777" w:rsidR="00232E33" w:rsidRPr="00601544" w:rsidRDefault="00232E33" w:rsidP="00232E33">
      <w:pPr>
        <w:spacing w:line="240" w:lineRule="auto"/>
        <w:jc w:val="both"/>
        <w:rPr>
          <w:rFonts w:asciiTheme="minorHAnsi" w:hAnsiTheme="minorHAnsi"/>
          <w:sz w:val="12"/>
          <w:szCs w:val="24"/>
        </w:rPr>
      </w:pPr>
    </w:p>
    <w:p w14:paraId="19CD620F" w14:textId="760980B5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3ADD078E" w14:textId="7C07CBA9" w:rsidR="00415054" w:rsidRDefault="00232E33" w:rsidP="00C82A0C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El programa muestra un cumplimiento en sus metas y avances de manera ascendente.</w:t>
      </w:r>
    </w:p>
    <w:p w14:paraId="521D1B70" w14:textId="77777777" w:rsidR="00415054" w:rsidRDefault="00415054" w:rsidP="00C82A0C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1652DF3" w14:textId="30F1FACD" w:rsidR="00415054" w:rsidRPr="00415054" w:rsidRDefault="00415054" w:rsidP="00C82A0C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4"/>
          <w:szCs w:val="24"/>
          <w:lang w:val="es-ES"/>
        </w:rPr>
      </w:pPr>
      <w:r w:rsidRPr="00415054">
        <w:rPr>
          <w:rFonts w:asciiTheme="minorHAnsi" w:hAnsiTheme="minorHAnsi"/>
          <w:sz w:val="24"/>
          <w:szCs w:val="24"/>
          <w:lang w:val="es-ES"/>
        </w:rPr>
        <w:lastRenderedPageBreak/>
        <w:t>Debido a la contingencia sanitaria presentada a nivel mundial, se realiza</w:t>
      </w:r>
      <w:r w:rsidR="003A315E">
        <w:rPr>
          <w:rFonts w:asciiTheme="minorHAnsi" w:hAnsiTheme="minorHAnsi"/>
          <w:sz w:val="24"/>
          <w:szCs w:val="24"/>
          <w:lang w:val="es-ES"/>
        </w:rPr>
        <w:t xml:space="preserve">ron acciones para poder darle un mayor auge a las </w:t>
      </w:r>
      <w:r w:rsidR="003A315E" w:rsidRPr="00415054">
        <w:rPr>
          <w:rFonts w:asciiTheme="minorHAnsi" w:hAnsiTheme="minorHAnsi"/>
          <w:sz w:val="24"/>
          <w:szCs w:val="24"/>
          <w:lang w:val="es-ES"/>
        </w:rPr>
        <w:t>plataformas</w:t>
      </w:r>
      <w:r w:rsidRPr="00415054">
        <w:rPr>
          <w:rFonts w:asciiTheme="minorHAnsi" w:hAnsiTheme="minorHAnsi"/>
          <w:sz w:val="24"/>
          <w:szCs w:val="24"/>
          <w:lang w:val="es-ES"/>
        </w:rPr>
        <w:t xml:space="preserve"> digitales y así llevar a cabo clases en línea.</w:t>
      </w:r>
    </w:p>
    <w:p w14:paraId="4DD983FC" w14:textId="77777777" w:rsidR="00FA04A3" w:rsidRDefault="00FA04A3" w:rsidP="00C82A0C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5C97D361" w14:textId="65E6FAF7" w:rsidR="00C82A0C" w:rsidRDefault="003A315E" w:rsidP="00D2232F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C82A0C">
        <w:rPr>
          <w:rFonts w:asciiTheme="minorHAnsi" w:hAnsiTheme="minorHAnsi"/>
          <w:sz w:val="24"/>
          <w:szCs w:val="24"/>
          <w:lang w:val="es-ES"/>
        </w:rPr>
        <w:t xml:space="preserve">Se implementaron diversas acciones como la entrega de material didáctico y de examen en tiempo y forma, la capacitación a las figuras solidarias para que </w:t>
      </w:r>
      <w:r w:rsidR="006D23E7">
        <w:rPr>
          <w:rFonts w:asciiTheme="minorHAnsi" w:hAnsiTheme="minorHAnsi"/>
          <w:sz w:val="24"/>
          <w:szCs w:val="24"/>
          <w:lang w:val="es-ES"/>
        </w:rPr>
        <w:t>continuaran brindando</w:t>
      </w:r>
      <w:r w:rsidRPr="00C82A0C">
        <w:rPr>
          <w:rFonts w:asciiTheme="minorHAnsi" w:hAnsiTheme="minorHAnsi"/>
          <w:sz w:val="24"/>
          <w:szCs w:val="24"/>
          <w:lang w:val="es-ES"/>
        </w:rPr>
        <w:t xml:space="preserve"> un servicio educativo de calidad a los educandos, el reforzamiento en las asesorías de los módulos con mayor índice de reprobación, así como la programación de horarios para la aplicación de exámenes </w:t>
      </w:r>
      <w:r w:rsidR="00C82A0C" w:rsidRPr="00C82A0C">
        <w:rPr>
          <w:rFonts w:asciiTheme="minorHAnsi" w:hAnsiTheme="minorHAnsi"/>
          <w:sz w:val="24"/>
          <w:szCs w:val="24"/>
          <w:lang w:val="es-ES"/>
        </w:rPr>
        <w:t>de acuerdo con</w:t>
      </w:r>
      <w:r w:rsidRPr="00C82A0C">
        <w:rPr>
          <w:rFonts w:asciiTheme="minorHAnsi" w:hAnsiTheme="minorHAnsi"/>
          <w:sz w:val="24"/>
          <w:szCs w:val="24"/>
          <w:lang w:val="es-ES"/>
        </w:rPr>
        <w:t xml:space="preserve"> la movilidad y al tiempo disponible de los educandos.</w:t>
      </w:r>
    </w:p>
    <w:p w14:paraId="47951039" w14:textId="77777777" w:rsidR="00C82A0C" w:rsidRPr="00C82A0C" w:rsidRDefault="00C82A0C" w:rsidP="00C82A0C">
      <w:pPr>
        <w:pStyle w:val="Prrafodelista"/>
        <w:rPr>
          <w:rFonts w:asciiTheme="minorHAnsi" w:hAnsiTheme="minorHAnsi"/>
          <w:sz w:val="24"/>
          <w:szCs w:val="24"/>
          <w:lang w:val="es-ES"/>
        </w:rPr>
      </w:pPr>
    </w:p>
    <w:p w14:paraId="330FFD99" w14:textId="0001B560" w:rsidR="00ED7CC4" w:rsidRPr="00C82A0C" w:rsidRDefault="003A315E" w:rsidP="00D2232F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C82A0C">
        <w:rPr>
          <w:rFonts w:asciiTheme="minorHAnsi" w:hAnsiTheme="minorHAnsi"/>
          <w:sz w:val="24"/>
          <w:szCs w:val="24"/>
          <w:lang w:val="es-ES"/>
        </w:rPr>
        <w:t>Se continuo con la promoción de los exámenes en línea a los usuarios de las plazas comunitarias y a los educandos que por algún motivo no pudieron presentar su examen el día programado para que acudieran a presentarlo en esta modalidad.</w:t>
      </w:r>
    </w:p>
    <w:p w14:paraId="2C10D7CF" w14:textId="77777777" w:rsidR="000C4097" w:rsidRPr="000C4097" w:rsidRDefault="000C4097" w:rsidP="00C82A0C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3B6FFF06" w14:textId="2A7510A6" w:rsidR="00E474E8" w:rsidRPr="00344E7D" w:rsidRDefault="00EE0924" w:rsidP="00254FF6">
      <w:pPr>
        <w:pStyle w:val="Prrafodelista"/>
        <w:numPr>
          <w:ilvl w:val="0"/>
          <w:numId w:val="2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 w:rsidRPr="00344E7D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</w:t>
      </w:r>
      <w:r w:rsidR="00415054" w:rsidRPr="00344E7D">
        <w:rPr>
          <w:rFonts w:asciiTheme="minorHAnsi" w:hAnsiTheme="minorHAnsi"/>
          <w:bCs/>
          <w:sz w:val="24"/>
          <w:szCs w:val="24"/>
          <w:lang w:val="es-ES"/>
        </w:rPr>
        <w:t>ión para el Ejercicio Fiscal 2020</w:t>
      </w:r>
      <w:r w:rsidRPr="00344E7D">
        <w:rPr>
          <w:rFonts w:asciiTheme="minorHAnsi" w:hAnsiTheme="minorHAnsi"/>
          <w:bCs/>
          <w:sz w:val="24"/>
          <w:szCs w:val="24"/>
          <w:lang w:val="es-ES"/>
        </w:rPr>
        <w:t xml:space="preserve"> y los TdR emitidos para tal efecto</w:t>
      </w:r>
      <w:r w:rsidR="00FA04A3" w:rsidRPr="00344E7D">
        <w:rPr>
          <w:rFonts w:asciiTheme="minorHAnsi" w:hAnsiTheme="minorHAnsi"/>
          <w:bCs/>
          <w:sz w:val="24"/>
          <w:szCs w:val="24"/>
          <w:lang w:val="es-ES"/>
        </w:rPr>
        <w:t>.</w:t>
      </w:r>
    </w:p>
    <w:sectPr w:rsidR="00E474E8" w:rsidRPr="00344E7D" w:rsidSect="002B45DE">
      <w:headerReference w:type="default" r:id="rId8"/>
      <w:headerReference w:type="first" r:id="rId9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556FB" w14:textId="77777777" w:rsidR="00B65E2C" w:rsidRDefault="00B65E2C" w:rsidP="008E5209">
      <w:pPr>
        <w:spacing w:after="0" w:line="240" w:lineRule="auto"/>
      </w:pPr>
      <w:r>
        <w:separator/>
      </w:r>
    </w:p>
  </w:endnote>
  <w:endnote w:type="continuationSeparator" w:id="0">
    <w:p w14:paraId="5E0C1470" w14:textId="77777777" w:rsidR="00B65E2C" w:rsidRDefault="00B65E2C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ourier New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FE00" w14:textId="77777777" w:rsidR="00B65E2C" w:rsidRDefault="00B65E2C" w:rsidP="008E5209">
      <w:pPr>
        <w:spacing w:after="0" w:line="240" w:lineRule="auto"/>
      </w:pPr>
      <w:r>
        <w:separator/>
      </w:r>
    </w:p>
  </w:footnote>
  <w:footnote w:type="continuationSeparator" w:id="0">
    <w:p w14:paraId="1A7C62AD" w14:textId="77777777" w:rsidR="00B65E2C" w:rsidRDefault="00B65E2C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5088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3B6D"/>
    <w:rsid w:val="000C4097"/>
    <w:rsid w:val="000C5759"/>
    <w:rsid w:val="000C7555"/>
    <w:rsid w:val="000C7DB8"/>
    <w:rsid w:val="000D764C"/>
    <w:rsid w:val="000F2D60"/>
    <w:rsid w:val="000F3AF6"/>
    <w:rsid w:val="000F6061"/>
    <w:rsid w:val="00102E69"/>
    <w:rsid w:val="00103A3A"/>
    <w:rsid w:val="00107559"/>
    <w:rsid w:val="00110F36"/>
    <w:rsid w:val="0011419F"/>
    <w:rsid w:val="00121D44"/>
    <w:rsid w:val="0013073F"/>
    <w:rsid w:val="00131E38"/>
    <w:rsid w:val="00145904"/>
    <w:rsid w:val="00167840"/>
    <w:rsid w:val="001763CC"/>
    <w:rsid w:val="00176969"/>
    <w:rsid w:val="001800BD"/>
    <w:rsid w:val="00184CB5"/>
    <w:rsid w:val="001933A0"/>
    <w:rsid w:val="0019373C"/>
    <w:rsid w:val="001A0E6E"/>
    <w:rsid w:val="001A4DD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BFA"/>
    <w:rsid w:val="00214062"/>
    <w:rsid w:val="00217F51"/>
    <w:rsid w:val="00222217"/>
    <w:rsid w:val="00230930"/>
    <w:rsid w:val="002312DF"/>
    <w:rsid w:val="00232E33"/>
    <w:rsid w:val="00233D0F"/>
    <w:rsid w:val="002356D5"/>
    <w:rsid w:val="0023762C"/>
    <w:rsid w:val="002422A9"/>
    <w:rsid w:val="00246085"/>
    <w:rsid w:val="00256B08"/>
    <w:rsid w:val="00262981"/>
    <w:rsid w:val="00263387"/>
    <w:rsid w:val="00263C83"/>
    <w:rsid w:val="00264327"/>
    <w:rsid w:val="0026692D"/>
    <w:rsid w:val="002801B9"/>
    <w:rsid w:val="00281DFC"/>
    <w:rsid w:val="0028599A"/>
    <w:rsid w:val="002903FB"/>
    <w:rsid w:val="0029157E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044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4E7D"/>
    <w:rsid w:val="00345DBF"/>
    <w:rsid w:val="00351B94"/>
    <w:rsid w:val="003578C1"/>
    <w:rsid w:val="003671EF"/>
    <w:rsid w:val="00375FD1"/>
    <w:rsid w:val="003800F3"/>
    <w:rsid w:val="00384C73"/>
    <w:rsid w:val="003867E1"/>
    <w:rsid w:val="003954C6"/>
    <w:rsid w:val="003964B5"/>
    <w:rsid w:val="003A1F58"/>
    <w:rsid w:val="003A315E"/>
    <w:rsid w:val="003C3463"/>
    <w:rsid w:val="003C5B02"/>
    <w:rsid w:val="003D6C7B"/>
    <w:rsid w:val="003E326B"/>
    <w:rsid w:val="003E4BAA"/>
    <w:rsid w:val="003E6E57"/>
    <w:rsid w:val="003F09A1"/>
    <w:rsid w:val="003F0AF3"/>
    <w:rsid w:val="003F315D"/>
    <w:rsid w:val="003F3708"/>
    <w:rsid w:val="003F5FE3"/>
    <w:rsid w:val="00405921"/>
    <w:rsid w:val="00413C04"/>
    <w:rsid w:val="0041452B"/>
    <w:rsid w:val="00415054"/>
    <w:rsid w:val="00416CC1"/>
    <w:rsid w:val="00425911"/>
    <w:rsid w:val="00431E65"/>
    <w:rsid w:val="004327A3"/>
    <w:rsid w:val="00433E44"/>
    <w:rsid w:val="0044695A"/>
    <w:rsid w:val="004620A0"/>
    <w:rsid w:val="0047128A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4F1ADE"/>
    <w:rsid w:val="0050641D"/>
    <w:rsid w:val="00510CF9"/>
    <w:rsid w:val="00531BE3"/>
    <w:rsid w:val="00531C3D"/>
    <w:rsid w:val="005369D7"/>
    <w:rsid w:val="00547E4A"/>
    <w:rsid w:val="00550AFC"/>
    <w:rsid w:val="00555F51"/>
    <w:rsid w:val="005565AC"/>
    <w:rsid w:val="00564E3C"/>
    <w:rsid w:val="00575727"/>
    <w:rsid w:val="005773F7"/>
    <w:rsid w:val="005826E6"/>
    <w:rsid w:val="005845F6"/>
    <w:rsid w:val="0058606E"/>
    <w:rsid w:val="0058734A"/>
    <w:rsid w:val="00591208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544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77D37"/>
    <w:rsid w:val="0068293A"/>
    <w:rsid w:val="00690BCC"/>
    <w:rsid w:val="0069467B"/>
    <w:rsid w:val="006A18AF"/>
    <w:rsid w:val="006A3D81"/>
    <w:rsid w:val="006A5855"/>
    <w:rsid w:val="006A631C"/>
    <w:rsid w:val="006C0CCC"/>
    <w:rsid w:val="006C634C"/>
    <w:rsid w:val="006D23E7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47D6D"/>
    <w:rsid w:val="007513D2"/>
    <w:rsid w:val="0075401B"/>
    <w:rsid w:val="007541F8"/>
    <w:rsid w:val="00756A99"/>
    <w:rsid w:val="007610AB"/>
    <w:rsid w:val="00771385"/>
    <w:rsid w:val="007817B1"/>
    <w:rsid w:val="00782C22"/>
    <w:rsid w:val="00784BFB"/>
    <w:rsid w:val="007862E9"/>
    <w:rsid w:val="007967D9"/>
    <w:rsid w:val="007A0C17"/>
    <w:rsid w:val="007A0D4E"/>
    <w:rsid w:val="007A73AA"/>
    <w:rsid w:val="007A782D"/>
    <w:rsid w:val="007B388D"/>
    <w:rsid w:val="007B4768"/>
    <w:rsid w:val="007C3A12"/>
    <w:rsid w:val="007C73EB"/>
    <w:rsid w:val="007D1877"/>
    <w:rsid w:val="007D19D3"/>
    <w:rsid w:val="007D3F85"/>
    <w:rsid w:val="007D4353"/>
    <w:rsid w:val="007D7081"/>
    <w:rsid w:val="007E4A2A"/>
    <w:rsid w:val="007E5374"/>
    <w:rsid w:val="007E6949"/>
    <w:rsid w:val="00801AE3"/>
    <w:rsid w:val="00801B4F"/>
    <w:rsid w:val="00803598"/>
    <w:rsid w:val="00812734"/>
    <w:rsid w:val="00822FE3"/>
    <w:rsid w:val="008237A2"/>
    <w:rsid w:val="00827FA5"/>
    <w:rsid w:val="0083482F"/>
    <w:rsid w:val="008405A6"/>
    <w:rsid w:val="0085289C"/>
    <w:rsid w:val="00855D89"/>
    <w:rsid w:val="00857815"/>
    <w:rsid w:val="0085799F"/>
    <w:rsid w:val="00860E2B"/>
    <w:rsid w:val="0086126F"/>
    <w:rsid w:val="00866F47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26F9"/>
    <w:rsid w:val="008E3483"/>
    <w:rsid w:val="008E5209"/>
    <w:rsid w:val="008F0494"/>
    <w:rsid w:val="008F1D6E"/>
    <w:rsid w:val="0091170D"/>
    <w:rsid w:val="009160E1"/>
    <w:rsid w:val="00916B71"/>
    <w:rsid w:val="0092465C"/>
    <w:rsid w:val="009263AC"/>
    <w:rsid w:val="009263AE"/>
    <w:rsid w:val="00930172"/>
    <w:rsid w:val="00934890"/>
    <w:rsid w:val="009352D5"/>
    <w:rsid w:val="00950021"/>
    <w:rsid w:val="0096110F"/>
    <w:rsid w:val="009768FB"/>
    <w:rsid w:val="00983315"/>
    <w:rsid w:val="009A182A"/>
    <w:rsid w:val="009A3BA4"/>
    <w:rsid w:val="009B17E1"/>
    <w:rsid w:val="009B3B2B"/>
    <w:rsid w:val="009B5E2C"/>
    <w:rsid w:val="009B795A"/>
    <w:rsid w:val="009C2A50"/>
    <w:rsid w:val="009C5D0D"/>
    <w:rsid w:val="009C6FE2"/>
    <w:rsid w:val="009D58D9"/>
    <w:rsid w:val="009D762F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163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66F9"/>
    <w:rsid w:val="00AE0BD1"/>
    <w:rsid w:val="00AE1ACC"/>
    <w:rsid w:val="00AE4E69"/>
    <w:rsid w:val="00AE5C01"/>
    <w:rsid w:val="00AF08A9"/>
    <w:rsid w:val="00B10612"/>
    <w:rsid w:val="00B20F0E"/>
    <w:rsid w:val="00B21D80"/>
    <w:rsid w:val="00B22ADF"/>
    <w:rsid w:val="00B24DE7"/>
    <w:rsid w:val="00B3544D"/>
    <w:rsid w:val="00B35EB8"/>
    <w:rsid w:val="00B435F5"/>
    <w:rsid w:val="00B507E3"/>
    <w:rsid w:val="00B5124C"/>
    <w:rsid w:val="00B51B31"/>
    <w:rsid w:val="00B614DF"/>
    <w:rsid w:val="00B65E2C"/>
    <w:rsid w:val="00B71DBF"/>
    <w:rsid w:val="00BA1B5C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2A0C"/>
    <w:rsid w:val="00C87ADB"/>
    <w:rsid w:val="00C9043F"/>
    <w:rsid w:val="00C913B4"/>
    <w:rsid w:val="00C94C02"/>
    <w:rsid w:val="00C96DA9"/>
    <w:rsid w:val="00CA02AC"/>
    <w:rsid w:val="00CA10FD"/>
    <w:rsid w:val="00CA585E"/>
    <w:rsid w:val="00CB6CF8"/>
    <w:rsid w:val="00CC06EA"/>
    <w:rsid w:val="00CC489F"/>
    <w:rsid w:val="00CC65F5"/>
    <w:rsid w:val="00CC7A2F"/>
    <w:rsid w:val="00CD34D2"/>
    <w:rsid w:val="00CF511B"/>
    <w:rsid w:val="00CF57AE"/>
    <w:rsid w:val="00D10D79"/>
    <w:rsid w:val="00D1436F"/>
    <w:rsid w:val="00D1597D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7276"/>
    <w:rsid w:val="00D8309E"/>
    <w:rsid w:val="00D92DBC"/>
    <w:rsid w:val="00D93A14"/>
    <w:rsid w:val="00D94E0E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5D76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72627"/>
    <w:rsid w:val="00E81172"/>
    <w:rsid w:val="00E85EDC"/>
    <w:rsid w:val="00E91A09"/>
    <w:rsid w:val="00E95051"/>
    <w:rsid w:val="00EA4287"/>
    <w:rsid w:val="00EB345E"/>
    <w:rsid w:val="00EB6C57"/>
    <w:rsid w:val="00EC21F6"/>
    <w:rsid w:val="00EC3814"/>
    <w:rsid w:val="00EC553C"/>
    <w:rsid w:val="00EC63B6"/>
    <w:rsid w:val="00ED0FAB"/>
    <w:rsid w:val="00ED2843"/>
    <w:rsid w:val="00ED7CC4"/>
    <w:rsid w:val="00EE0924"/>
    <w:rsid w:val="00EE32E3"/>
    <w:rsid w:val="00F0320D"/>
    <w:rsid w:val="00F16821"/>
    <w:rsid w:val="00F16885"/>
    <w:rsid w:val="00F24D1A"/>
    <w:rsid w:val="00F2576D"/>
    <w:rsid w:val="00F26D0B"/>
    <w:rsid w:val="00F33E30"/>
    <w:rsid w:val="00F355A1"/>
    <w:rsid w:val="00F36ECC"/>
    <w:rsid w:val="00F46C22"/>
    <w:rsid w:val="00F51A08"/>
    <w:rsid w:val="00F75E9D"/>
    <w:rsid w:val="00F77312"/>
    <w:rsid w:val="00F8367D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A5DADAE1-C815-4861-97CD-2FFD4122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6F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6F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6F4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6F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6F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4D416-9C73-44F2-9C39-A7BBC1F5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642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Hauchbaum</cp:lastModifiedBy>
  <cp:revision>24</cp:revision>
  <cp:lastPrinted>2021-10-28T17:29:00Z</cp:lastPrinted>
  <dcterms:created xsi:type="dcterms:W3CDTF">2021-10-25T16:15:00Z</dcterms:created>
  <dcterms:modified xsi:type="dcterms:W3CDTF">2021-10-28T22:12:00Z</dcterms:modified>
</cp:coreProperties>
</file>